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AF" w:rsidRPr="00216859" w:rsidRDefault="00CE30AF" w:rsidP="00CE3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 </w:t>
      </w:r>
      <w:proofErr w:type="spellStart"/>
      <w:proofErr w:type="gramStart"/>
      <w:r w:rsidRPr="00216859">
        <w:rPr>
          <w:rFonts w:ascii="Times New Roman" w:hAnsi="Times New Roman"/>
          <w:b/>
          <w:sz w:val="28"/>
          <w:szCs w:val="28"/>
        </w:rPr>
        <w:t>городс-кого</w:t>
      </w:r>
      <w:proofErr w:type="spellEnd"/>
      <w:proofErr w:type="gramEnd"/>
      <w:r w:rsidRPr="00216859">
        <w:rPr>
          <w:rFonts w:ascii="Times New Roman" w:hAnsi="Times New Roman"/>
          <w:b/>
          <w:sz w:val="28"/>
          <w:szCs w:val="28"/>
        </w:rPr>
        <w:t xml:space="preserve"> округа Красноуральск «Об утверждении  Примерного положения об оплате труда работников муниципальных казенных учреждений сферы образования» </w:t>
      </w:r>
      <w:r w:rsidRPr="00216859">
        <w:rPr>
          <w:rFonts w:ascii="Times New Roman" w:hAnsi="Times New Roman"/>
          <w:sz w:val="28"/>
          <w:szCs w:val="28"/>
        </w:rPr>
        <w:t>(далее – Проект).</w:t>
      </w:r>
    </w:p>
    <w:p w:rsidR="00CE30AF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>09</w:t>
      </w:r>
      <w:r w:rsidRPr="00216859">
        <w:rPr>
          <w:rFonts w:ascii="Times New Roman" w:hAnsi="Times New Roman"/>
          <w:sz w:val="28"/>
          <w:szCs w:val="28"/>
        </w:rPr>
        <w:t xml:space="preserve"> декабря 2015 года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Заключение на Проект подготовлено Контрольным органом городского округа Красноуральск в соответствии со статьей 8 Положения </w:t>
      </w:r>
      <w:r w:rsidRPr="00216859">
        <w:rPr>
          <w:rFonts w:ascii="Times New Roman" w:hAnsi="Times New Roman" w:cs="Times New Roman"/>
          <w:sz w:val="28"/>
          <w:szCs w:val="28"/>
        </w:rPr>
        <w:t>о Контрольном органе городского округа Красноуральск, утвержденного решением Думы городского округа Красноуральск от 04.12.2014 № 335</w:t>
      </w:r>
      <w:r w:rsidRPr="00216859">
        <w:rPr>
          <w:rFonts w:ascii="Times New Roman" w:hAnsi="Times New Roman"/>
          <w:sz w:val="28"/>
          <w:szCs w:val="28"/>
        </w:rPr>
        <w:t>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25.11.2015 для проведения финансово-экономической экспертизы поступили следующие документы: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1.Письмо муниципального казенного учреждения «Управление </w:t>
      </w:r>
      <w:proofErr w:type="spellStart"/>
      <w:proofErr w:type="gramStart"/>
      <w:r w:rsidRPr="00216859">
        <w:rPr>
          <w:rFonts w:ascii="Times New Roman" w:hAnsi="Times New Roman"/>
          <w:sz w:val="28"/>
          <w:szCs w:val="28"/>
        </w:rPr>
        <w:t>образо-вания</w:t>
      </w:r>
      <w:proofErr w:type="spellEnd"/>
      <w:proofErr w:type="gramEnd"/>
      <w:r w:rsidRPr="00216859">
        <w:rPr>
          <w:rFonts w:ascii="Times New Roman" w:hAnsi="Times New Roman"/>
          <w:sz w:val="28"/>
          <w:szCs w:val="28"/>
        </w:rPr>
        <w:t xml:space="preserve"> городского округа Красноуральск» от  25.11.2015 № 844 – на 1 листе.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2.Проект - на 15 листах.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Рассмотрев Проект, </w:t>
      </w:r>
      <w:r w:rsidRPr="00216859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 xml:space="preserve">1. </w:t>
      </w:r>
      <w:r w:rsidRPr="00216859">
        <w:rPr>
          <w:rFonts w:ascii="Times New Roman" w:hAnsi="Times New Roman"/>
          <w:sz w:val="28"/>
          <w:szCs w:val="28"/>
        </w:rPr>
        <w:t xml:space="preserve">Для проведения  экспертизы разработчиком Проекта не представлены  пояснения,  определяющие необходимость  утверждения нового положения об оплате </w:t>
      </w:r>
      <w:proofErr w:type="gramStart"/>
      <w:r w:rsidRPr="00216859">
        <w:rPr>
          <w:rFonts w:ascii="Times New Roman" w:hAnsi="Times New Roman"/>
          <w:sz w:val="28"/>
          <w:szCs w:val="28"/>
        </w:rPr>
        <w:t>труда работников казенных учреждений  сферы образования</w:t>
      </w:r>
      <w:proofErr w:type="gramEnd"/>
      <w:r w:rsidRPr="00216859">
        <w:rPr>
          <w:rFonts w:ascii="Times New Roman" w:hAnsi="Times New Roman"/>
          <w:sz w:val="28"/>
          <w:szCs w:val="28"/>
        </w:rPr>
        <w:t>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2. Проектом предлагается утвердить  примерное положение  об оплате труда  работников  муниципальных казенных учреждений  сферы образования (далее – Примерное положение).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3. Проектом установлено, что финансовое обеспечение расходных обязательств, связанных с реализацией данного Проекта, осуществляется в пределах бюджетных ассигнований на обеспечение выполнения функций  муниципальных казенных учреждений  в части оплаты труда.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4. Примерное положение разработано на основании нормативно – правовых актов: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-  постановления Правительства Свердловской области от 06.02.2009 № 145-ПП «О введении новых систем оплаты труда работников государственных бюджетных, автономных и казенных учреждений свердловской области» (в ред. от 31.07.2015 № 694 – ПП</w:t>
      </w:r>
      <w:proofErr w:type="gramStart"/>
      <w:r w:rsidRPr="00216859">
        <w:rPr>
          <w:rFonts w:ascii="Times New Roman" w:hAnsi="Times New Roman"/>
          <w:sz w:val="28"/>
          <w:szCs w:val="28"/>
        </w:rPr>
        <w:t>)(</w:t>
      </w:r>
      <w:proofErr w:type="gramEnd"/>
      <w:r w:rsidRPr="00216859">
        <w:rPr>
          <w:rFonts w:ascii="Times New Roman" w:hAnsi="Times New Roman"/>
          <w:sz w:val="28"/>
          <w:szCs w:val="28"/>
        </w:rPr>
        <w:t>далее  - Постановление № 145 – ПП);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- постановления Правительства Свердловской области от 25.06.2010 № 973-ПП «О введении новой </w:t>
      </w:r>
      <w:proofErr w:type="gramStart"/>
      <w:r w:rsidRPr="00216859">
        <w:rPr>
          <w:rFonts w:ascii="Times New Roman" w:hAnsi="Times New Roman"/>
          <w:sz w:val="28"/>
          <w:szCs w:val="28"/>
        </w:rPr>
        <w:t>системы оплаты труда работников государственных организаций Свердловской</w:t>
      </w:r>
      <w:proofErr w:type="gramEnd"/>
      <w:r w:rsidRPr="00216859">
        <w:rPr>
          <w:rFonts w:ascii="Times New Roman" w:hAnsi="Times New Roman"/>
          <w:sz w:val="28"/>
          <w:szCs w:val="28"/>
        </w:rPr>
        <w:t xml:space="preserve"> области, в отношении которых функции учредителя осуществляются Министерством  общего и профессионального образования Свердловской области» (далее – Постановление № 973 – ПП). 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Выводы по результатам экспертизы сформированы  Контрольным органом  на основании анализа применения данных нормативных правовых актов.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5. Выявлены некоторые несоответствия предлагаемых к утверждению условий оплаты труда с вышеперечисленными нормативными правовыми актами, а именно: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16859">
        <w:rPr>
          <w:rFonts w:ascii="Times New Roman" w:hAnsi="Times New Roman"/>
          <w:b/>
          <w:sz w:val="28"/>
          <w:szCs w:val="28"/>
        </w:rPr>
        <w:t>Постановление № 145 – ПП</w:t>
      </w:r>
      <w:r w:rsidRPr="00216859">
        <w:rPr>
          <w:rFonts w:ascii="Times New Roman" w:hAnsi="Times New Roman"/>
          <w:sz w:val="28"/>
          <w:szCs w:val="28"/>
        </w:rPr>
        <w:t>: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* </w:t>
      </w:r>
      <w:r w:rsidRPr="00216859">
        <w:rPr>
          <w:rFonts w:ascii="Times New Roman" w:hAnsi="Times New Roman"/>
          <w:b/>
          <w:sz w:val="28"/>
          <w:szCs w:val="28"/>
        </w:rPr>
        <w:t>в нарушение пункта 12</w:t>
      </w:r>
      <w:r w:rsidRPr="00216859">
        <w:rPr>
          <w:rFonts w:ascii="Times New Roman" w:hAnsi="Times New Roman"/>
          <w:sz w:val="28"/>
          <w:szCs w:val="28"/>
        </w:rPr>
        <w:t xml:space="preserve">  не предусмотрено согласование  структуры казенного учреждения с  исполнительным органом  местного самоуправления городского округа Красноуральск,  являющегося главным распорядителем бюджетных средств, в ведении которого находится казенной учреждение.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Согласно постановлению администрации от 13.11.2015 № 1446 «Об утверждении  Перечня  главных распорядителей, подведомственных </w:t>
      </w:r>
      <w:proofErr w:type="spellStart"/>
      <w:proofErr w:type="gramStart"/>
      <w:r w:rsidRPr="00216859">
        <w:rPr>
          <w:rFonts w:ascii="Times New Roman" w:hAnsi="Times New Roman"/>
          <w:sz w:val="28"/>
          <w:szCs w:val="28"/>
        </w:rPr>
        <w:t>распоря-дителей</w:t>
      </w:r>
      <w:proofErr w:type="spellEnd"/>
      <w:proofErr w:type="gramEnd"/>
      <w:r w:rsidRPr="00216859">
        <w:rPr>
          <w:rFonts w:ascii="Times New Roman" w:hAnsi="Times New Roman"/>
          <w:sz w:val="28"/>
          <w:szCs w:val="28"/>
        </w:rPr>
        <w:t xml:space="preserve"> и получателей бюджетных средств городского округа Красноуральск» главным распорядителем бюджетных средств для муниципального казенного учреждения «Управление образования городского округа Красноуральск» с 01.01.2016 является администрация городского округа Красноуральск (далее  - ГРБС);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* </w:t>
      </w:r>
      <w:r w:rsidRPr="00216859">
        <w:rPr>
          <w:rFonts w:ascii="Times New Roman" w:hAnsi="Times New Roman"/>
          <w:b/>
          <w:sz w:val="28"/>
          <w:szCs w:val="28"/>
        </w:rPr>
        <w:t>в нарушение пункта 12-1</w:t>
      </w:r>
      <w:r w:rsidRPr="00216859">
        <w:rPr>
          <w:rFonts w:ascii="Times New Roman" w:hAnsi="Times New Roman"/>
          <w:sz w:val="28"/>
          <w:szCs w:val="28"/>
        </w:rPr>
        <w:t xml:space="preserve"> не установлено условие  о полномочиях ГРБС  по установлению  предельной доли оплаты труда работников </w:t>
      </w:r>
      <w:proofErr w:type="spellStart"/>
      <w:proofErr w:type="gramStart"/>
      <w:r w:rsidRPr="00216859">
        <w:rPr>
          <w:rFonts w:ascii="Times New Roman" w:hAnsi="Times New Roman"/>
          <w:sz w:val="28"/>
          <w:szCs w:val="28"/>
        </w:rPr>
        <w:t>админист-ративно</w:t>
      </w:r>
      <w:proofErr w:type="spellEnd"/>
      <w:proofErr w:type="gramEnd"/>
      <w:r w:rsidRPr="00216859">
        <w:rPr>
          <w:rFonts w:ascii="Times New Roman" w:hAnsi="Times New Roman"/>
          <w:sz w:val="28"/>
          <w:szCs w:val="28"/>
        </w:rPr>
        <w:t xml:space="preserve"> – управленческого и вспомогательного персонала в фонде оплаты труда подведомственных муниципальных учреждений  (не более – 40 %), а так же перечень должностей, относимых к административно – управленческому и вспомогательному персоналу  этих учреждений;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* главой 2  «Условия  определения оплаты труда» не  установлен перечень видов выплат  компенсационного  характера и не определены условия их осуществления;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* условия пункта 38 Примерного положения не соответствуют условиям абзаца 5 пункта 7 данного НПА, а именно:</w:t>
      </w:r>
    </w:p>
    <w:tbl>
      <w:tblPr>
        <w:tblStyle w:val="a7"/>
        <w:tblW w:w="0" w:type="auto"/>
        <w:tblLook w:val="04A0"/>
      </w:tblPr>
      <w:tblGrid>
        <w:gridCol w:w="4927"/>
        <w:gridCol w:w="4928"/>
      </w:tblGrid>
      <w:tr w:rsidR="00CE30AF" w:rsidRPr="00216859" w:rsidTr="00C05C15">
        <w:tc>
          <w:tcPr>
            <w:tcW w:w="4927" w:type="dxa"/>
          </w:tcPr>
          <w:p w:rsidR="00CE30AF" w:rsidRPr="00216859" w:rsidRDefault="00CE30AF" w:rsidP="00C05C15">
            <w:pPr>
              <w:jc w:val="center"/>
              <w:rPr>
                <w:sz w:val="24"/>
                <w:szCs w:val="24"/>
              </w:rPr>
            </w:pPr>
            <w:r w:rsidRPr="00216859">
              <w:rPr>
                <w:sz w:val="24"/>
                <w:szCs w:val="24"/>
              </w:rPr>
              <w:t>Постановление № 145 - ПП</w:t>
            </w:r>
          </w:p>
        </w:tc>
        <w:tc>
          <w:tcPr>
            <w:tcW w:w="4928" w:type="dxa"/>
          </w:tcPr>
          <w:p w:rsidR="00CE30AF" w:rsidRPr="00216859" w:rsidRDefault="00CE30AF" w:rsidP="00C05C15">
            <w:pPr>
              <w:jc w:val="center"/>
              <w:rPr>
                <w:sz w:val="24"/>
                <w:szCs w:val="24"/>
              </w:rPr>
            </w:pPr>
            <w:r w:rsidRPr="00216859">
              <w:rPr>
                <w:sz w:val="24"/>
                <w:szCs w:val="24"/>
              </w:rPr>
              <w:t>Примерное положение</w:t>
            </w:r>
          </w:p>
        </w:tc>
      </w:tr>
      <w:tr w:rsidR="00CE30AF" w:rsidRPr="00216859" w:rsidTr="00C05C15">
        <w:tc>
          <w:tcPr>
            <w:tcW w:w="4927" w:type="dxa"/>
          </w:tcPr>
          <w:p w:rsidR="00CE30AF" w:rsidRPr="00216859" w:rsidRDefault="00CE30AF" w:rsidP="00C05C15">
            <w:pPr>
              <w:jc w:val="both"/>
              <w:rPr>
                <w:sz w:val="24"/>
                <w:szCs w:val="24"/>
              </w:rPr>
            </w:pPr>
            <w:r w:rsidRPr="00216859">
              <w:rPr>
                <w:sz w:val="24"/>
                <w:szCs w:val="24"/>
              </w:rPr>
              <w:t xml:space="preserve">Предельный уровень соотношения средней заработной платы руководителей  </w:t>
            </w:r>
            <w:proofErr w:type="spellStart"/>
            <w:proofErr w:type="gramStart"/>
            <w:r w:rsidRPr="00216859">
              <w:rPr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216859">
              <w:rPr>
                <w:sz w:val="24"/>
                <w:szCs w:val="24"/>
              </w:rPr>
              <w:t xml:space="preserve"> казенных учреждений и средней заработной платы работников этих учреждений устанавливается </w:t>
            </w:r>
            <w:proofErr w:type="spellStart"/>
            <w:r w:rsidRPr="00216859">
              <w:rPr>
                <w:sz w:val="24"/>
                <w:szCs w:val="24"/>
              </w:rPr>
              <w:t>исполнитель-ным</w:t>
            </w:r>
            <w:proofErr w:type="spellEnd"/>
            <w:r w:rsidRPr="00216859">
              <w:rPr>
                <w:sz w:val="24"/>
                <w:szCs w:val="24"/>
              </w:rPr>
              <w:t xml:space="preserve"> органом местного самоуправления, являющимся главным распорядителем средств местного бюджета, в ведении которого  находятся  муниципальные </w:t>
            </w:r>
            <w:proofErr w:type="spellStart"/>
            <w:r w:rsidRPr="00216859">
              <w:rPr>
                <w:sz w:val="24"/>
                <w:szCs w:val="24"/>
              </w:rPr>
              <w:t>казен-ные</w:t>
            </w:r>
            <w:proofErr w:type="spellEnd"/>
            <w:r w:rsidRPr="00216859">
              <w:rPr>
                <w:sz w:val="24"/>
                <w:szCs w:val="24"/>
              </w:rPr>
              <w:t xml:space="preserve"> учреждения, в кратности  от 1 до 8.</w:t>
            </w:r>
          </w:p>
        </w:tc>
        <w:tc>
          <w:tcPr>
            <w:tcW w:w="4928" w:type="dxa"/>
          </w:tcPr>
          <w:p w:rsidR="00CE30AF" w:rsidRPr="00216859" w:rsidRDefault="00CE30AF" w:rsidP="00C05C15">
            <w:pPr>
              <w:jc w:val="both"/>
              <w:rPr>
                <w:sz w:val="24"/>
                <w:szCs w:val="24"/>
              </w:rPr>
            </w:pPr>
            <w:r w:rsidRPr="00216859">
              <w:rPr>
                <w:sz w:val="24"/>
                <w:szCs w:val="24"/>
              </w:rPr>
              <w:t>Размер оклада руководителя казенного учреждения определяются трудовым договором, устанавливается в кратном отношении к средней заработной плате всех работников возглавляемого им учреждения, и составляет до размеров указанной средней заработной платы.</w:t>
            </w:r>
          </w:p>
        </w:tc>
      </w:tr>
    </w:tbl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- </w:t>
      </w:r>
      <w:r w:rsidRPr="00216859">
        <w:rPr>
          <w:rFonts w:ascii="Times New Roman" w:hAnsi="Times New Roman"/>
          <w:b/>
          <w:sz w:val="28"/>
          <w:szCs w:val="28"/>
        </w:rPr>
        <w:t>Постановление № 973 – ПП</w:t>
      </w:r>
      <w:r w:rsidRPr="00216859">
        <w:rPr>
          <w:rFonts w:ascii="Times New Roman" w:hAnsi="Times New Roman"/>
          <w:sz w:val="28"/>
          <w:szCs w:val="28"/>
        </w:rPr>
        <w:t>: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* </w:t>
      </w:r>
      <w:r w:rsidRPr="00216859">
        <w:rPr>
          <w:rFonts w:ascii="Times New Roman" w:hAnsi="Times New Roman"/>
          <w:b/>
          <w:sz w:val="28"/>
          <w:szCs w:val="28"/>
        </w:rPr>
        <w:t>в нарушение пункта 10</w:t>
      </w:r>
      <w:r w:rsidRPr="00216859">
        <w:rPr>
          <w:rFonts w:ascii="Times New Roman" w:hAnsi="Times New Roman"/>
          <w:sz w:val="28"/>
          <w:szCs w:val="28"/>
        </w:rPr>
        <w:t xml:space="preserve"> в пункте 9 Примерного положения установлено излишнее требование при определении  </w:t>
      </w:r>
      <w:proofErr w:type="gramStart"/>
      <w:r w:rsidRPr="00216859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216859">
        <w:rPr>
          <w:rFonts w:ascii="Times New Roman" w:hAnsi="Times New Roman"/>
          <w:sz w:val="28"/>
          <w:szCs w:val="28"/>
        </w:rPr>
        <w:t xml:space="preserve">  учитывать  «сложность и объем выполняемой работы»;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859">
        <w:rPr>
          <w:rFonts w:ascii="Times New Roman" w:hAnsi="Times New Roman"/>
          <w:sz w:val="28"/>
          <w:szCs w:val="28"/>
        </w:rPr>
        <w:t xml:space="preserve">* </w:t>
      </w:r>
      <w:r w:rsidRPr="00216859">
        <w:rPr>
          <w:rFonts w:ascii="Times New Roman" w:hAnsi="Times New Roman"/>
          <w:b/>
          <w:sz w:val="28"/>
          <w:szCs w:val="28"/>
        </w:rPr>
        <w:t>в нарушение  пункта 62</w:t>
      </w:r>
      <w:r w:rsidRPr="00216859">
        <w:rPr>
          <w:rFonts w:ascii="Times New Roman" w:hAnsi="Times New Roman"/>
          <w:sz w:val="28"/>
          <w:szCs w:val="28"/>
        </w:rPr>
        <w:t xml:space="preserve">  пунктом 20 Примерного положения работникам, занимающим должности служащих,   отнесенных к  </w:t>
      </w:r>
      <w:proofErr w:type="spellStart"/>
      <w:r w:rsidRPr="00216859">
        <w:rPr>
          <w:rFonts w:ascii="Times New Roman" w:hAnsi="Times New Roman"/>
          <w:sz w:val="28"/>
          <w:szCs w:val="28"/>
        </w:rPr>
        <w:t>профессио-нальным</w:t>
      </w:r>
      <w:proofErr w:type="spellEnd"/>
      <w:r w:rsidRPr="00216859">
        <w:rPr>
          <w:rFonts w:ascii="Times New Roman" w:hAnsi="Times New Roman"/>
          <w:sz w:val="28"/>
          <w:szCs w:val="28"/>
        </w:rPr>
        <w:t xml:space="preserve"> квалификационным группам,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  устанавливается  повышающий коэффициент за выполнение  важных (особо важных) и (или) ответственных (особо ответственных) работ;</w:t>
      </w:r>
      <w:proofErr w:type="gramEnd"/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* </w:t>
      </w:r>
      <w:r w:rsidRPr="00216859">
        <w:rPr>
          <w:rFonts w:ascii="Times New Roman" w:hAnsi="Times New Roman"/>
          <w:b/>
          <w:sz w:val="28"/>
          <w:szCs w:val="28"/>
        </w:rPr>
        <w:t>в нарушение пункта 63</w:t>
      </w:r>
      <w:r w:rsidRPr="00216859">
        <w:rPr>
          <w:rFonts w:ascii="Times New Roman" w:hAnsi="Times New Roman"/>
          <w:sz w:val="28"/>
          <w:szCs w:val="28"/>
        </w:rPr>
        <w:t xml:space="preserve"> в главе 3 Примерного положения не установлен размер персонального повышающего коэффициента (</w:t>
      </w:r>
      <w:proofErr w:type="spellStart"/>
      <w:proofErr w:type="gramStart"/>
      <w:r w:rsidRPr="00216859">
        <w:rPr>
          <w:rFonts w:ascii="Times New Roman" w:hAnsi="Times New Roman"/>
          <w:sz w:val="28"/>
          <w:szCs w:val="28"/>
        </w:rPr>
        <w:t>рекомен-дуемый</w:t>
      </w:r>
      <w:proofErr w:type="spellEnd"/>
      <w:proofErr w:type="gramEnd"/>
      <w:r w:rsidRPr="00216859">
        <w:rPr>
          <w:rFonts w:ascii="Times New Roman" w:hAnsi="Times New Roman"/>
          <w:sz w:val="28"/>
          <w:szCs w:val="28"/>
        </w:rPr>
        <w:t xml:space="preserve"> – до 3,0);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859">
        <w:rPr>
          <w:rFonts w:ascii="Times New Roman" w:hAnsi="Times New Roman"/>
          <w:sz w:val="28"/>
          <w:szCs w:val="28"/>
        </w:rPr>
        <w:lastRenderedPageBreak/>
        <w:t xml:space="preserve">* </w:t>
      </w:r>
      <w:r w:rsidRPr="00216859">
        <w:rPr>
          <w:rFonts w:ascii="Times New Roman" w:hAnsi="Times New Roman"/>
          <w:b/>
          <w:sz w:val="28"/>
          <w:szCs w:val="28"/>
        </w:rPr>
        <w:t>в нарушение условий абзацев 1 и 2 пункта 80</w:t>
      </w:r>
      <w:r w:rsidRPr="00216859">
        <w:rPr>
          <w:rFonts w:ascii="Times New Roman" w:hAnsi="Times New Roman"/>
          <w:sz w:val="28"/>
          <w:szCs w:val="28"/>
        </w:rPr>
        <w:t xml:space="preserve">  в пункте 33 Примерного положения установлено, что  коэффициент за выполнение  важных (особо важных) и (или) ответственных (особо ответственных) работ работникам, осуществляющим профессиональную деятельность по профессиям рабочих, устанавливается «по  соответствующим профессиям» а не «по квалификационным разрядам  рабочих по профессиям не ниже 6 разряда ЕКТС».</w:t>
      </w:r>
      <w:proofErr w:type="gramEnd"/>
      <w:r w:rsidRPr="00216859">
        <w:rPr>
          <w:rFonts w:ascii="Times New Roman" w:hAnsi="Times New Roman"/>
          <w:sz w:val="28"/>
          <w:szCs w:val="28"/>
        </w:rPr>
        <w:t xml:space="preserve"> Размер данного коэффициента установлен в размере – до 3,0, вместо - 2,0 </w:t>
      </w:r>
      <w:proofErr w:type="gramStart"/>
      <w:r w:rsidRPr="00216859">
        <w:rPr>
          <w:rFonts w:ascii="Times New Roman" w:hAnsi="Times New Roman"/>
          <w:sz w:val="28"/>
          <w:szCs w:val="28"/>
        </w:rPr>
        <w:t>рекомендуемых</w:t>
      </w:r>
      <w:proofErr w:type="gramEnd"/>
      <w:r w:rsidRPr="00216859">
        <w:rPr>
          <w:rFonts w:ascii="Times New Roman" w:hAnsi="Times New Roman"/>
          <w:sz w:val="28"/>
          <w:szCs w:val="28"/>
        </w:rPr>
        <w:t>;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* в пункте 40 Примерного положения </w:t>
      </w:r>
      <w:r w:rsidRPr="00216859">
        <w:rPr>
          <w:rFonts w:ascii="Times New Roman" w:hAnsi="Times New Roman"/>
          <w:b/>
          <w:sz w:val="28"/>
          <w:szCs w:val="28"/>
        </w:rPr>
        <w:t>не установлено требование пункта 91</w:t>
      </w:r>
      <w:r w:rsidRPr="00216859">
        <w:rPr>
          <w:rFonts w:ascii="Times New Roman" w:hAnsi="Times New Roman"/>
          <w:sz w:val="28"/>
          <w:szCs w:val="28"/>
        </w:rPr>
        <w:t xml:space="preserve">, в соответствии с которым  стимулирование руководителя казенного учреждения  осуществляется не только в соответствии  с показателями </w:t>
      </w:r>
      <w:proofErr w:type="spellStart"/>
      <w:r w:rsidRPr="00216859">
        <w:rPr>
          <w:rFonts w:ascii="Times New Roman" w:hAnsi="Times New Roman"/>
          <w:sz w:val="28"/>
          <w:szCs w:val="28"/>
        </w:rPr>
        <w:t>эффек-тивности</w:t>
      </w:r>
      <w:proofErr w:type="spellEnd"/>
      <w:r w:rsidRPr="00216859">
        <w:rPr>
          <w:rFonts w:ascii="Times New Roman" w:hAnsi="Times New Roman"/>
          <w:sz w:val="28"/>
          <w:szCs w:val="28"/>
        </w:rPr>
        <w:t xml:space="preserve">, но и в соответствии с критериями </w:t>
      </w:r>
      <w:proofErr w:type="gramStart"/>
      <w:r w:rsidRPr="00216859">
        <w:rPr>
          <w:rFonts w:ascii="Times New Roman" w:hAnsi="Times New Roman"/>
          <w:sz w:val="28"/>
          <w:szCs w:val="28"/>
        </w:rPr>
        <w:t>оценки показателей эффективности деятельности руководителя</w:t>
      </w:r>
      <w:proofErr w:type="gramEnd"/>
      <w:r w:rsidRPr="00216859">
        <w:rPr>
          <w:rFonts w:ascii="Times New Roman" w:hAnsi="Times New Roman"/>
          <w:sz w:val="28"/>
          <w:szCs w:val="28"/>
        </w:rPr>
        <w:t>;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* в пункте 41 Примерного положения </w:t>
      </w:r>
      <w:r w:rsidRPr="00216859">
        <w:rPr>
          <w:rFonts w:ascii="Times New Roman" w:hAnsi="Times New Roman"/>
          <w:b/>
          <w:sz w:val="28"/>
          <w:szCs w:val="28"/>
        </w:rPr>
        <w:t>не установлено требование</w:t>
      </w:r>
      <w:r w:rsidRPr="00216859">
        <w:rPr>
          <w:rFonts w:ascii="Times New Roman" w:hAnsi="Times New Roman"/>
          <w:sz w:val="28"/>
          <w:szCs w:val="28"/>
        </w:rPr>
        <w:t xml:space="preserve">  </w:t>
      </w:r>
      <w:r w:rsidRPr="00216859">
        <w:rPr>
          <w:rFonts w:ascii="Times New Roman" w:hAnsi="Times New Roman"/>
          <w:b/>
          <w:sz w:val="28"/>
          <w:szCs w:val="28"/>
        </w:rPr>
        <w:t>абзаца 2 пункта 93</w:t>
      </w:r>
      <w:r w:rsidRPr="00216859">
        <w:rPr>
          <w:rFonts w:ascii="Times New Roman" w:hAnsi="Times New Roman"/>
          <w:sz w:val="28"/>
          <w:szCs w:val="28"/>
        </w:rPr>
        <w:t>, о том что, решение о выплатах стимулирующего характера заместителю руководителя и главному бухгалтеру, принимается руководителем казенного учреждения;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* пункт 56 Примерного положения  </w:t>
      </w:r>
      <w:r w:rsidRPr="00216859">
        <w:rPr>
          <w:rFonts w:ascii="Times New Roman" w:hAnsi="Times New Roman"/>
          <w:b/>
          <w:sz w:val="28"/>
          <w:szCs w:val="28"/>
        </w:rPr>
        <w:t>не в полной мере отражает условия пункта 111</w:t>
      </w:r>
      <w:r w:rsidRPr="00216859">
        <w:rPr>
          <w:rFonts w:ascii="Times New Roman" w:hAnsi="Times New Roman"/>
          <w:sz w:val="28"/>
          <w:szCs w:val="28"/>
        </w:rPr>
        <w:t>, в соответствии с которым «Размер выплат стимулирующего характера определяются в процентном  отношении  к окладу (должностному окладу) или в абсолютном размере с учетом разрабатываемых в учреждении показателей и критериев оценки эффективности труда работников»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tab/>
      </w:r>
      <w:r w:rsidRPr="00216859">
        <w:rPr>
          <w:rFonts w:ascii="Times New Roman" w:hAnsi="Times New Roman" w:cs="Times New Roman"/>
          <w:sz w:val="28"/>
          <w:szCs w:val="28"/>
        </w:rPr>
        <w:t>6. В пункте 60 Примерного положения не конкретизированы государственные и профессиональные праздники, в связи с которыми работникам казенного учреждения могут выдаваться единовременные денежные поощрения.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  <w:t>ВЫВОДЫ:</w:t>
      </w:r>
    </w:p>
    <w:p w:rsidR="0096387F" w:rsidRDefault="00CE30AF" w:rsidP="009638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0AF">
        <w:rPr>
          <w:rFonts w:ascii="Times New Roman" w:hAnsi="Times New Roman"/>
          <w:sz w:val="28"/>
          <w:szCs w:val="28"/>
        </w:rPr>
        <w:t>1</w:t>
      </w:r>
      <w:r w:rsidR="0096387F">
        <w:rPr>
          <w:rFonts w:ascii="Times New Roman" w:hAnsi="Times New Roman"/>
          <w:sz w:val="28"/>
          <w:szCs w:val="28"/>
        </w:rPr>
        <w:t>. Примерное положение привести в соответствии с нормами действующего законодательства.</w:t>
      </w:r>
    </w:p>
    <w:p w:rsidR="00CE30AF" w:rsidRPr="00216859" w:rsidRDefault="00CE30AF" w:rsidP="009638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2. </w:t>
      </w:r>
      <w:r w:rsidRPr="0021685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30.12.2015. </w:t>
      </w:r>
    </w:p>
    <w:p w:rsidR="00CE30AF" w:rsidRPr="00216859" w:rsidRDefault="00CE30AF" w:rsidP="0096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6859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 w:rsidRPr="00216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86A" w:rsidRDefault="00B3686A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15" w:rsidRDefault="00C05C15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7BE" w:rsidRDefault="000B77BE" w:rsidP="000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63" w:rsidRPr="00A42163" w:rsidRDefault="00A42163" w:rsidP="00A421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11011F" w:rsidRDefault="0011011F" w:rsidP="00CE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011F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D324F"/>
    <w:rsid w:val="000E0CE0"/>
    <w:rsid w:val="000F34E9"/>
    <w:rsid w:val="0011011F"/>
    <w:rsid w:val="00110334"/>
    <w:rsid w:val="00112DA0"/>
    <w:rsid w:val="0011596F"/>
    <w:rsid w:val="0013598A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C487F"/>
    <w:rsid w:val="008D33F5"/>
    <w:rsid w:val="008E3CB4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2015-12-29T10:05:00Z</dcterms:created>
  <dcterms:modified xsi:type="dcterms:W3CDTF">2015-12-29T10:05:00Z</dcterms:modified>
</cp:coreProperties>
</file>